
<file path=[Content_Types].xml><?xml version="1.0" encoding="utf-8"?>
<Types xmlns="http://schemas.openxmlformats.org/package/2006/content-types">
  <Default Extension="emf" ContentType="image/x-emf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rFonts w:ascii="Arial" w:hAnsi="Arial" w:cs="Arial"/>
          <w:b/>
          <w:sz w:val="36"/>
        </w:rPr>
      </w:pPr>
      <w:bookmarkStart w:id="0" w:name="_GoBack"/>
      <w:bookmarkEnd w:id="0"/>
    </w:p>
    <w:p>
      <w:pPr>
        <w:ind w:left="1416" w:firstLine="708"/>
        <w:rPr>
          <w:rFonts w:ascii="Arial" w:hAnsi="Arial" w:cs="Arial"/>
          <w:b/>
          <w:color w:val="ED7D31" w:themeColor="accent2"/>
          <w:sz w:val="48"/>
          <w:szCs w:val="48"/>
          <w14:textFill>
            <w14:solidFill>
              <w14:schemeClr w14:val="accent2"/>
            </w14:solidFill>
          </w14:textFill>
        </w:rPr>
      </w:pPr>
      <w:r>
        <w:rPr>
          <w:rFonts w:ascii="Arial" w:hAnsi="Arial" w:cs="Arial"/>
          <w:b/>
          <w:color w:val="ED7D31" w:themeColor="accent2"/>
          <w:sz w:val="48"/>
          <w:szCs w:val="48"/>
          <w14:textFill>
            <w14:solidFill>
              <w14:schemeClr w14:val="accent2"/>
            </w14:solidFill>
          </w14:textFill>
        </w:rPr>
        <w:t>Avis d’appel d’offre ouvert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Fondation Orange Guinée et la GIZ ont signé un partenariat qui entend offrir aux jeunes un accès gratuit aux formations, soutenir et encourager leur employabilité mais aussi contribuer à l’accélération des start-ups.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partenariat traduit la volonté des deux parties de mettre en œuvre un programme – Orange Digital Center qui va contribuer au développement humain des jeunes en Guinée par le biais du numérique.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même logique que les ODC, des ODC Clubs seront ouverts dans les établissements partenaires. </w:t>
      </w: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présent appel d’offre entend répondre aux besoins en matériel informatique dans le cadre de l’ouverture prochaine des ODC Club de l’Institut des Mines et géologie de  Boké.</w:t>
      </w:r>
    </w:p>
    <w:p>
      <w:pPr>
        <w:pStyle w:val="12"/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L’appel d’offre est ouvert à tous les candidats éligibles. </w:t>
      </w:r>
    </w:p>
    <w:p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devront renseigner la lettre de soumission et un accord de confidentialité. Les candidats doivent soumettre des dossiers séparés :</w:t>
      </w:r>
    </w:p>
    <w:p>
      <w:pPr>
        <w:pStyle w:val="12"/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Administratif</w:t>
      </w:r>
    </w:p>
    <w:p>
      <w:pPr>
        <w:pStyle w:val="1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Technique et </w:t>
      </w:r>
    </w:p>
    <w:p>
      <w:pPr>
        <w:pStyle w:val="1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Financier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  <w:szCs w:val="24"/>
          <w:lang w:val="fr"/>
        </w:rPr>
      </w:pPr>
      <w:r>
        <w:rPr>
          <w:rFonts w:ascii="Arial" w:hAnsi="Arial" w:cs="Arial"/>
          <w:sz w:val="24"/>
          <w:szCs w:val="24"/>
        </w:rPr>
        <w:t xml:space="preserve">Les candidats doivent être des personnes morales disposant de documents administratifs ci-après : </w:t>
      </w:r>
    </w:p>
    <w:p>
      <w:pPr>
        <w:pStyle w:val="12"/>
        <w:jc w:val="both"/>
        <w:rPr>
          <w:rFonts w:ascii="Arial" w:hAnsi="Arial" w:eastAsia="Cambria" w:cs="Arial"/>
          <w:sz w:val="24"/>
          <w:szCs w:val="24"/>
          <w:lang w:val="fr"/>
        </w:rPr>
      </w:pPr>
    </w:p>
    <w:p>
      <w:pPr>
        <w:pStyle w:val="12"/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  <w:szCs w:val="24"/>
          <w:lang w:val="fr"/>
        </w:rPr>
      </w:pPr>
      <w:r>
        <w:rPr>
          <w:rFonts w:ascii="Arial" w:hAnsi="Arial" w:eastAsia="Cambria" w:cs="Arial"/>
          <w:sz w:val="24"/>
          <w:szCs w:val="24"/>
          <w:lang w:val="fr"/>
        </w:rPr>
        <w:t>Présentation de leur entreprise (Statut ; règlements intérieur (si disponible) ; extrait du registre du commerce ; identification fiscale ; déclaration d’impôt)</w:t>
      </w:r>
    </w:p>
    <w:p>
      <w:pPr>
        <w:pStyle w:val="12"/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  <w:szCs w:val="24"/>
          <w:lang w:val="fr"/>
        </w:rPr>
      </w:pPr>
      <w:r>
        <w:rPr>
          <w:rFonts w:ascii="Arial" w:hAnsi="Arial" w:eastAsia="Cambria" w:cs="Arial"/>
          <w:sz w:val="24"/>
          <w:szCs w:val="24"/>
          <w:lang w:val="fr"/>
        </w:rPr>
        <w:t>La lettre d’engagement du prestataire</w:t>
      </w:r>
    </w:p>
    <w:p>
      <w:pPr>
        <w:pStyle w:val="12"/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Toutes les offres doivent être envoyées </w:t>
      </w:r>
      <w:r>
        <w:rPr>
          <w:rFonts w:ascii="Arial" w:hAnsi="Arial" w:cs="Arial"/>
          <w:b/>
          <w:bCs/>
          <w:sz w:val="24"/>
          <w:szCs w:val="24"/>
        </w:rPr>
        <w:t xml:space="preserve">au plus tard le </w:t>
      </w:r>
      <w:r>
        <w:rPr>
          <w:rFonts w:ascii="Arial" w:hAnsi="Arial" w:cs="Arial"/>
          <w:b/>
          <w:bCs/>
        </w:rPr>
        <w:t>11 Aout 2023</w:t>
      </w:r>
    </w:p>
    <w:p>
      <w:pPr>
        <w:pStyle w:val="12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</w:rPr>
        <w:t>00 heures précises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exclusivement via e-mail à l’adresse suivante :</w:t>
      </w:r>
      <w:r>
        <w:t xml:space="preserve"> </w:t>
      </w:r>
      <w:r>
        <w:fldChar w:fldCharType="begin"/>
      </w:r>
      <w:r>
        <w:instrText xml:space="preserve"> HYPERLINK "mailto:offresconsultations.ogc@orange-sonatel.com" \o "mailto:offresconsultations.ogc@orange-sonatel.com" </w:instrText>
      </w:r>
      <w:r>
        <w:fldChar w:fldCharType="separate"/>
      </w:r>
      <w:r>
        <w:rPr>
          <w:rStyle w:val="9"/>
          <w:rFonts w:ascii="Arial" w:hAnsi="Arial" w:cs="Arial"/>
          <w:b/>
          <w:bCs/>
        </w:rPr>
        <w:t>offresconsultations.ogc@orange-sonatel.com</w:t>
      </w:r>
      <w:r>
        <w:rPr>
          <w:rStyle w:val="9"/>
          <w:rFonts w:ascii="Arial" w:hAnsi="Arial" w:cs="Arial"/>
          <w:b/>
          <w:bCs/>
        </w:rPr>
        <w:fldChar w:fldCharType="end"/>
      </w:r>
    </w:p>
    <w:p>
      <w:pPr>
        <w:pStyle w:val="12"/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color w:val="ED7D31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</w:pPr>
    </w:p>
    <w:p>
      <w:pPr>
        <w:jc w:val="both"/>
        <w:rPr>
          <w:rFonts w:ascii="Arial" w:hAnsi="Arial" w:cs="Arial"/>
          <w:b/>
          <w:color w:val="ED7D31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</w:pPr>
    </w:p>
    <w:p>
      <w:pPr>
        <w:jc w:val="both"/>
        <w:rPr>
          <w:rFonts w:ascii="Arial" w:hAnsi="Arial" w:cs="Arial"/>
          <w:b/>
          <w:color w:val="ED7D31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</w:pPr>
    </w:p>
    <w:p>
      <w:pPr>
        <w:jc w:val="both"/>
        <w:rPr>
          <w:rFonts w:ascii="Arial" w:hAnsi="Arial" w:cs="Arial"/>
          <w:b/>
          <w:color w:val="ED7D31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</w:pPr>
    </w:p>
    <w:p>
      <w:pPr>
        <w:jc w:val="both"/>
        <w:rPr>
          <w:rFonts w:ascii="Arial" w:hAnsi="Arial" w:cs="Arial"/>
          <w:b/>
          <w:color w:val="ED7D31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</w:pPr>
      <w:r>
        <w:rPr>
          <w:rFonts w:ascii="Arial" w:hAnsi="Arial" w:cs="Arial"/>
          <w:b/>
          <w:color w:val="ED7D31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  <w:t>Descriptif détaillé de la consultation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eastAsia="Cambr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besoins en mobiliers formulées pour l’ ODC Club répondent aux spécificités précisées.</w:t>
      </w:r>
    </w:p>
    <w:p>
      <w:pPr>
        <w:jc w:val="both"/>
        <w:rPr>
          <w:rFonts w:ascii="Arial" w:hAnsi="Arial" w:eastAsia="Cambria" w:cs="Arial"/>
          <w:spacing w:val="15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Article 1 : Description du matériel 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proposition contiendra la documentation nécessaire et toutes les pièces que le soumissionnaire estimera nécessaire pour   préciser   son offre: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5760720" cy="4709160"/>
            <wp:effectExtent l="0" t="0" r="5080" b="2540"/>
            <wp:docPr id="3277667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6794" name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Article 2 : Les livrables attendus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attendu des soumissionnaires la documentation nécessaire et toutes les pièces que le soumissionnaire estimera nécessaire pour préciser son offre 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devra contenir :</w:t>
      </w:r>
    </w:p>
    <w:p>
      <w:pPr>
        <w:pStyle w:val="1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documents attestant de sa spécialisation dans le domaine</w:t>
      </w:r>
    </w:p>
    <w:p>
      <w:pPr>
        <w:pStyle w:val="1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liste de ses références pour lesdits travaux </w:t>
      </w:r>
    </w:p>
    <w:p>
      <w:pPr>
        <w:pStyle w:val="1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caractéristiques techniques de chaque élément </w:t>
      </w:r>
    </w:p>
    <w:p>
      <w:pPr>
        <w:pStyle w:val="1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images correspondant à chacun des éléments </w:t>
      </w:r>
    </w:p>
    <w:p>
      <w:pPr>
        <w:spacing w:before="100" w:after="200" w:line="276" w:lineRule="auto"/>
        <w:contextualSpacing/>
        <w:jc w:val="both"/>
        <w:rPr>
          <w:rFonts w:ascii="Arial" w:hAnsi="Arial" w:cs="Arial"/>
          <w:lang w:val="fr"/>
        </w:rPr>
      </w:pPr>
    </w:p>
    <w:p>
      <w:pPr>
        <w:ind w:firstLine="360"/>
        <w:jc w:val="both"/>
        <w:rPr>
          <w:rFonts w:ascii="Arial" w:hAnsi="Arial" w:cs="Arial"/>
          <w:b/>
          <w:bCs/>
          <w:sz w:val="24"/>
          <w:szCs w:val="24"/>
          <w:lang w:val="fr"/>
        </w:rPr>
      </w:pPr>
      <w:r>
        <w:rPr>
          <w:rFonts w:ascii="Arial" w:hAnsi="Arial" w:cs="Arial"/>
          <w:b/>
          <w:bCs/>
          <w:sz w:val="24"/>
          <w:szCs w:val="24"/>
          <w:lang w:val="fr"/>
        </w:rPr>
        <w:t xml:space="preserve">c - Offre Financière </w:t>
      </w:r>
    </w:p>
    <w:p>
      <w:pPr>
        <w:jc w:val="both"/>
        <w:rPr>
          <w:rFonts w:ascii="Arial" w:hAnsi="Arial" w:eastAsia="Arial" w:cs="Arial"/>
          <w:lang w:val="fr"/>
        </w:rPr>
      </w:pPr>
      <w:r>
        <w:rPr>
          <w:rFonts w:ascii="Arial" w:hAnsi="Arial" w:eastAsia="Arial" w:cs="Arial"/>
          <w:lang w:val="fr"/>
        </w:rPr>
        <w:t>L’offre financière devra prendre en compte le transport et l’installation.</w:t>
      </w:r>
    </w:p>
    <w:p>
      <w:pPr>
        <w:jc w:val="both"/>
        <w:rPr>
          <w:rFonts w:ascii="Arial" w:hAnsi="Arial" w:eastAsia="Arial" w:cs="Arial"/>
          <w:lang w:val="fr"/>
        </w:rPr>
      </w:pPr>
      <w:r>
        <w:rPr>
          <w:rFonts w:ascii="Arial" w:hAnsi="Arial" w:eastAsia="Arial" w:cs="Arial"/>
          <w:lang w:val="fr"/>
        </w:rPr>
        <w:t xml:space="preserve">Elle sera en GNF et présentée sous la forme d’un devis HT GNF </w:t>
      </w:r>
    </w:p>
    <w:p>
      <w:pPr>
        <w:spacing w:before="100" w:after="200" w:line="276" w:lineRule="auto"/>
        <w:ind w:left="360"/>
        <w:contextualSpacing/>
        <w:jc w:val="both"/>
        <w:rPr>
          <w:rFonts w:ascii="Arial" w:hAnsi="Arial" w:cs="Arial"/>
          <w:lang w:val="fr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  <w:lang w:val="fr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  <w:lang w:val="fr"/>
        </w:rPr>
      </w:pPr>
      <w:r>
        <w:rPr>
          <w:rFonts w:ascii="Arial" w:hAnsi="Arial" w:cs="Arial"/>
          <w:b/>
          <w:bCs/>
          <w:sz w:val="28"/>
          <w:szCs w:val="28"/>
          <w:lang w:val="fr"/>
        </w:rPr>
        <w:t>Article 4 : Évaluation des offres</w:t>
      </w:r>
    </w:p>
    <w:p>
      <w:pPr>
        <w:jc w:val="both"/>
        <w:rPr>
          <w:rFonts w:ascii="Arial" w:hAnsi="Arial" w:cs="Arial"/>
          <w:b/>
          <w:bCs/>
          <w:sz w:val="28"/>
          <w:szCs w:val="28"/>
          <w:lang w:val="fr"/>
        </w:rPr>
      </w:pPr>
    </w:p>
    <w:p>
      <w:pPr>
        <w:pStyle w:val="12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Critères Généraux </w:t>
      </w:r>
    </w:p>
    <w:p>
      <w:pPr>
        <w:jc w:val="both"/>
        <w:rPr>
          <w:rFonts w:ascii="Arial" w:hAnsi="Arial" w:eastAsia="Arial" w:cs="Arial"/>
          <w:lang w:val="fr"/>
        </w:rPr>
      </w:pPr>
      <w:r>
        <w:rPr>
          <w:rFonts w:ascii="Arial" w:hAnsi="Arial" w:eastAsia="Arial" w:cs="Arial"/>
          <w:lang w:val="fr"/>
        </w:rPr>
        <w:t xml:space="preserve">Les offres seront jugées en fonction des critères suivants : </w:t>
      </w:r>
    </w:p>
    <w:p>
      <w:pPr>
        <w:pStyle w:val="12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="Arial" w:hAnsi="Arial" w:eastAsia="Cambria" w:cs="Arial"/>
          <w:lang w:val="fr"/>
        </w:rPr>
      </w:pPr>
      <w:r>
        <w:rPr>
          <w:rFonts w:ascii="Arial" w:hAnsi="Arial" w:eastAsia="Cambria" w:cs="Arial"/>
          <w:lang w:val="fr"/>
        </w:rPr>
        <w:t>la complétude des dossiers administratifs transmis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>La lettre de soumission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>La liste des références dans le domaine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>La réponse point    par    point aux   clauses    administratives et financières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>La liste détaillée des prix HT GNF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>Une garantie sur le matériel</w:t>
      </w:r>
    </w:p>
    <w:p>
      <w:pPr>
        <w:pStyle w:val="12"/>
        <w:jc w:val="both"/>
        <w:rPr>
          <w:rFonts w:ascii="Arial" w:hAnsi="Arial" w:cs="Arial"/>
          <w:b/>
          <w:bCs/>
        </w:rPr>
      </w:pPr>
    </w:p>
    <w:p>
      <w:pPr>
        <w:pStyle w:val="12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fr"/>
        </w:rPr>
      </w:pPr>
      <w:r>
        <w:rPr>
          <w:rFonts w:ascii="Arial" w:hAnsi="Arial" w:cs="Arial"/>
          <w:b/>
          <w:bCs/>
          <w:sz w:val="24"/>
          <w:szCs w:val="24"/>
          <w:lang w:val="fr"/>
        </w:rPr>
        <w:t>Critères particuliers</w:t>
      </w:r>
    </w:p>
    <w:p>
      <w:pPr>
        <w:ind w:firstLine="360"/>
        <w:jc w:val="both"/>
        <w:rPr>
          <w:rFonts w:ascii="Arial" w:hAnsi="Arial" w:cs="Arial"/>
          <w:b/>
          <w:bCs/>
          <w:lang w:val="fr"/>
        </w:rPr>
      </w:pPr>
    </w:p>
    <w:p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Les offres soumises devront préciser le détail relatif au transport et installation des dits équipements sur le site retenu.</w:t>
      </w:r>
    </w:p>
    <w:p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planning de livraison et d’installation devra également être fourni </w:t>
      </w:r>
    </w:p>
    <w:p>
      <w:pPr>
        <w:ind w:left="360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Article 5: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Conditions Générales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soumissionnaires resteront engagés par leurs offres 30 jours après la date limite fixée pour la remise de l'offre.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facturations se feront sur présentation des factures libellées à l’attention de la Fondation Orange Guinée. Elles seront accompagnées de justificatifs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évaluation du fournisseur sera effectuée périodiquement sur initiative du Service Achats.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de cette évaluation seront partagés avec le prestataire en vue d’amélioration continue si besoin.</w:t>
      </w:r>
    </w:p>
    <w:p>
      <w:pPr>
        <w:jc w:val="both"/>
        <w:rPr>
          <w:rFonts w:ascii="Arial" w:hAnsi="Arial" w:cs="Arial"/>
          <w:sz w:val="20"/>
        </w:rPr>
      </w:pPr>
    </w:p>
    <w:p>
      <w:pPr>
        <w:pStyle w:val="12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Arial" w:hAnsi="Arial" w:cs="Arial"/>
        <w:b/>
        <w:color w:val="ED7D31" w:themeColor="accent2"/>
        <w:lang w:eastAsia="fr-FR"/>
        <w14:textFill>
          <w14:solidFill>
            <w14:schemeClr w14:val="accent2"/>
          </w14:solidFill>
        </w14:textFill>
      </w:rPr>
      <w:drawing>
        <wp:inline distT="0" distB="0" distL="0" distR="0">
          <wp:extent cx="2477135" cy="774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405" cy="81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35920"/>
    <w:multiLevelType w:val="multilevel"/>
    <w:tmpl w:val="0C235920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mbria" w:cs="Aria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311B201A"/>
    <w:multiLevelType w:val="multilevel"/>
    <w:tmpl w:val="311B20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2A2522"/>
    <w:multiLevelType w:val="multilevel"/>
    <w:tmpl w:val="3D2A25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D19"/>
    <w:multiLevelType w:val="multilevel"/>
    <w:tmpl w:val="3F014D19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781F2182"/>
    <w:multiLevelType w:val="multilevel"/>
    <w:tmpl w:val="781F2182"/>
    <w:lvl w:ilvl="0" w:tentative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2F"/>
    <w:rsid w:val="00060A54"/>
    <w:rsid w:val="000A29C4"/>
    <w:rsid w:val="00101D83"/>
    <w:rsid w:val="00131C0D"/>
    <w:rsid w:val="00175C69"/>
    <w:rsid w:val="001830D8"/>
    <w:rsid w:val="00203B75"/>
    <w:rsid w:val="002219B6"/>
    <w:rsid w:val="00233B0F"/>
    <w:rsid w:val="002C4C33"/>
    <w:rsid w:val="002D1367"/>
    <w:rsid w:val="003517CA"/>
    <w:rsid w:val="0038428D"/>
    <w:rsid w:val="003B45AA"/>
    <w:rsid w:val="003E3C14"/>
    <w:rsid w:val="0046341C"/>
    <w:rsid w:val="00470097"/>
    <w:rsid w:val="004A7F2A"/>
    <w:rsid w:val="004C1D37"/>
    <w:rsid w:val="00542CD9"/>
    <w:rsid w:val="00576147"/>
    <w:rsid w:val="00610B6D"/>
    <w:rsid w:val="007D5FA1"/>
    <w:rsid w:val="007D7434"/>
    <w:rsid w:val="00843283"/>
    <w:rsid w:val="00854657"/>
    <w:rsid w:val="008B69A8"/>
    <w:rsid w:val="008E67A0"/>
    <w:rsid w:val="009270DC"/>
    <w:rsid w:val="0094291D"/>
    <w:rsid w:val="00962504"/>
    <w:rsid w:val="009D49E8"/>
    <w:rsid w:val="00AB7C86"/>
    <w:rsid w:val="00AE7D8E"/>
    <w:rsid w:val="00AF5C3B"/>
    <w:rsid w:val="00B40A57"/>
    <w:rsid w:val="00BA0782"/>
    <w:rsid w:val="00BE1288"/>
    <w:rsid w:val="00BF2E56"/>
    <w:rsid w:val="00BF71E5"/>
    <w:rsid w:val="00C20359"/>
    <w:rsid w:val="00C524B4"/>
    <w:rsid w:val="00C544F9"/>
    <w:rsid w:val="00C70784"/>
    <w:rsid w:val="00C75F99"/>
    <w:rsid w:val="00D33BCB"/>
    <w:rsid w:val="00D74859"/>
    <w:rsid w:val="00D97356"/>
    <w:rsid w:val="00E16FFE"/>
    <w:rsid w:val="00E71D34"/>
    <w:rsid w:val="00EA662F"/>
    <w:rsid w:val="00EB4F96"/>
    <w:rsid w:val="00F175F3"/>
    <w:rsid w:val="00FF79CC"/>
    <w:rsid w:val="1DF98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7"/>
    <w:semiHidden/>
    <w:unhideWhenUsed/>
    <w:uiPriority w:val="99"/>
    <w:pPr>
      <w:spacing w:before="100" w:after="200"/>
      <w:jc w:val="both"/>
    </w:pPr>
    <w:rPr>
      <w:rFonts w:asciiTheme="minorHAnsi" w:hAnsiTheme="minorHAnsi" w:eastAsiaTheme="minorEastAsia" w:cstheme="minorBidi"/>
      <w:sz w:val="20"/>
      <w:szCs w:val="20"/>
    </w:rPr>
  </w:style>
  <w:style w:type="paragraph" w:styleId="7">
    <w:name w:val="footer"/>
    <w:basedOn w:val="1"/>
    <w:link w:val="14"/>
    <w:unhideWhenUsed/>
    <w:uiPriority w:val="99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character" w:styleId="9">
    <w:name w:val="Hyperlink"/>
    <w:basedOn w:val="2"/>
    <w:unhideWhenUsed/>
    <w:uiPriority w:val="0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11">
    <w:name w:val="Table Grid"/>
    <w:basedOn w:val="3"/>
    <w:uiPriority w:val="59"/>
    <w:pPr>
      <w:spacing w:before="100" w:after="0" w:line="240" w:lineRule="auto"/>
    </w:pPr>
    <w:rPr>
      <w:rFonts w:ascii="Arial" w:hAnsi="Arial" w:eastAsia="Times New Roman" w:cs="Times New Roman"/>
      <w:sz w:val="20"/>
      <w:szCs w:val="20"/>
      <w:lang w:val="de-DE"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link w:val="16"/>
    <w:qFormat/>
    <w:uiPriority w:val="34"/>
    <w:pPr>
      <w:ind w:left="720"/>
    </w:pPr>
  </w:style>
  <w:style w:type="character" w:customStyle="1" w:styleId="13">
    <w:name w:val="En-tête Car"/>
    <w:basedOn w:val="2"/>
    <w:link w:val="8"/>
    <w:uiPriority w:val="99"/>
    <w:rPr>
      <w:rFonts w:ascii="Calibri" w:hAnsi="Calibri" w:cs="Calibri"/>
    </w:rPr>
  </w:style>
  <w:style w:type="character" w:customStyle="1" w:styleId="14">
    <w:name w:val="Pied de page Car"/>
    <w:basedOn w:val="2"/>
    <w:link w:val="7"/>
    <w:uiPriority w:val="99"/>
    <w:rPr>
      <w:rFonts w:ascii="Calibri" w:hAnsi="Calibri" w:cs="Calibri"/>
    </w:rPr>
  </w:style>
  <w:style w:type="character" w:customStyle="1" w:styleId="15">
    <w:name w:val="Texte de bulles C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Paragraphe de liste Car"/>
    <w:link w:val="12"/>
    <w:locked/>
    <w:uiPriority w:val="34"/>
    <w:rPr>
      <w:rFonts w:ascii="Calibri" w:hAnsi="Calibri" w:cs="Calibri"/>
    </w:rPr>
  </w:style>
  <w:style w:type="character" w:customStyle="1" w:styleId="17">
    <w:name w:val="Commentaire Car"/>
    <w:basedOn w:val="2"/>
    <w:link w:val="6"/>
    <w:semiHidden/>
    <w:uiPriority w:val="99"/>
    <w:rPr>
      <w:rFonts w:eastAsiaTheme="minorEastAs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553</Words>
  <Characters>3044</Characters>
  <Lines>25</Lines>
  <Paragraphs>7</Paragraphs>
  <TotalTime>0</TotalTime>
  <ScaleCrop>false</ScaleCrop>
  <LinksUpToDate>false</LinksUpToDate>
  <CharactersWithSpaces>3590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2023-08-04T10:21:00Z</dcterms:created>
  <dc:creator>Mohamed Lamine KEITA[OGN DCIRE/DCI]</dc:creator>
  <cp:lastModifiedBy>Justin Junior Morel</cp:lastModifiedBy>
  <dcterms:modified xsi:type="dcterms:W3CDTF">2023-08-04T13:19:39Z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